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F6" w:rsidRDefault="004711F6" w:rsidP="0047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Lettera Aperta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sindaco di Ustica</w:t>
      </w:r>
      <w:r>
        <w:rPr>
          <w:rFonts w:ascii="Times New Roman" w:hAnsi="Times New Roman" w:cs="Times New Roman"/>
          <w:sz w:val="24"/>
          <w:szCs w:val="24"/>
        </w:rPr>
        <w:br/>
        <w:t xml:space="preserve">All’assessore al bilancio </w:t>
      </w:r>
      <w:r>
        <w:rPr>
          <w:rFonts w:ascii="Times New Roman" w:hAnsi="Times New Roman" w:cs="Times New Roman"/>
          <w:sz w:val="24"/>
          <w:szCs w:val="24"/>
        </w:rPr>
        <w:br/>
        <w:t>Al segretario comunale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it-IT"/>
        </w:rPr>
        <w:t>Cumulo gettone di presenza e indennità di funzione assessore comunale.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4711F6" w:rsidRDefault="004711F6" w:rsidP="0047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2015, in occasione della liquidazione dei gettoni di presenza  ai consiglieri comunali, avevamo già sollevato perplessità e chiesto chiarimenti in merito al cumulo del gettone di presenza e dell’indennità di funzione di assessore comunale, purtroppo senza riposta.</w:t>
      </w:r>
    </w:p>
    <w:p w:rsidR="004711F6" w:rsidRDefault="004711F6" w:rsidP="004711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avevamo rappresentato trova conferma nell’articolo 19, comma 10, della Legge regionale 23 dicembre 2000, n. 30 “Norme sull’ordinamento degli Enti Locali in Sicilia” secondo cui: “</w:t>
      </w:r>
      <w:r>
        <w:rPr>
          <w:rFonts w:ascii="Times New Roman" w:hAnsi="Times New Roman" w:cs="Times New Roman"/>
          <w:b/>
          <w:sz w:val="24"/>
          <w:szCs w:val="24"/>
        </w:rPr>
        <w:t xml:space="preserve">Agli amministratori ai quali viene corrisposta l'indennità di funzione  non è dovuto alcun gettone per la partecipazione a sedute degli organi collegiali del medesimo ente, né di commissioni che di quell'organo costituiscono articolazioni interne ed esterne”. </w:t>
      </w:r>
    </w:p>
    <w:p w:rsidR="004711F6" w:rsidRDefault="004711F6" w:rsidP="004711F6">
      <w:r>
        <w:t>I cittadini si chiedono se chi è stato causa di un dissesto finanziario per cattiva amministrazione e conseguentemente fatto lievitare al massimo consentito tutte le tasse comunali, portando al minimo  i servizi pubblici locali, possa ancora percepire gettoni di presenza, indennità e/o  “prebende” varie?</w:t>
      </w:r>
    </w:p>
    <w:p w:rsidR="004711F6" w:rsidRDefault="004711F6" w:rsidP="0047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seguito un estratto della determinazione del capo del 1° Settore Affari  Generali n. 69 del 28/12/2017 avente per oggetto: Liquidazione gettoni di presenza ai Consiglieri per sedute Consiglio Comunale – Anno 2017.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OMISSIS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E T E R M I N A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liquidare e pagare ai Consiglieri comunali sotto indicati, quale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gettone di presenza, la somma a fianco di ciascuno segnata per la partecipazione alle sedute del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Consiglio Comunale per il periodo gennaio - dicembre 2017, nella misura di €. 15,68 a seduta: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ZANCA VITO                              N. 3 €. 47,04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AILARA CLELIA                        N. 5 €. 78,40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SALERNO VITTORIA                N. 5 €. 78,40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MANCUSO RENATO                 N. 4 €. 62,72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CAMINITA FELICE                    N. 5 €. 78,40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TRANCHINA CLEMENTINA   N. 5 €. 78,40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LUPO PATRIZIA                        N. 4 €. 62,72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D'ARCA FRANCESCO              N. 4 €. 62,72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VENA MANUELA                      N. 5 €. 78,40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CASERTA CARMELA             N. 5 €. 78,40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BELLAVISTA MARIO             N. 1 €. 15,68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Dare atto che complessiva spesa ammontante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€. 721,28 </w:t>
      </w:r>
      <w:r>
        <w:rPr>
          <w:rFonts w:ascii="Times New Roman" w:hAnsi="Times New Roman" w:cs="Times New Roman"/>
          <w:sz w:val="24"/>
          <w:szCs w:val="24"/>
        </w:rPr>
        <w:t>trova imputazione al capitolo 14.02: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“Indennità Presidente e gettoni di presenza consiglieri comunali” e la somma di €.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61,40 </w:t>
      </w:r>
      <w:r>
        <w:rPr>
          <w:rFonts w:ascii="Times New Roman" w:hAnsi="Times New Roman" w:cs="Times New Roman"/>
          <w:sz w:val="24"/>
          <w:szCs w:val="24"/>
        </w:rPr>
        <w:t>relativa all’IRAP per €. 8,50% sul cap. 14.04: “IRAP su indennità organi istituzionali dell’Ente”, del Bilancio di Previsione del corrente esercizio ove è prevista la necessaria disponibilità.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Pietro Berucci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533525" cy="723900"/>
            <wp:effectExtent l="19050" t="0" r="9525" b="0"/>
            <wp:docPr id="1" name="Immagine 6" descr="Fir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irm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4711F6" w:rsidSect="002B11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11F6"/>
    <w:rsid w:val="002B1154"/>
    <w:rsid w:val="0047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1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2</cp:revision>
  <dcterms:created xsi:type="dcterms:W3CDTF">2018-01-03T18:28:00Z</dcterms:created>
  <dcterms:modified xsi:type="dcterms:W3CDTF">2018-01-03T18:29:00Z</dcterms:modified>
</cp:coreProperties>
</file>